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A4" w:rsidRDefault="00660BA4" w:rsidP="00660BA4">
      <w:pPr>
        <w:tabs>
          <w:tab w:val="left" w:pos="-720"/>
        </w:tabs>
        <w:suppressAutoHyphens/>
        <w:spacing w:line="240" w:lineRule="atLeast"/>
        <w:ind w:left="-720" w:right="-720"/>
        <w:jc w:val="center"/>
        <w:rPr>
          <w:rFonts w:ascii="Century Gothic" w:hAnsi="Century Gothic" w:cs="Century Gothic"/>
          <w:b/>
          <w:bCs/>
          <w:sz w:val="20"/>
          <w:szCs w:val="20"/>
        </w:rPr>
      </w:pPr>
      <w:bookmarkStart w:id="0" w:name="_GoBack"/>
      <w:bookmarkEnd w:id="0"/>
      <w:r>
        <w:rPr>
          <w:rFonts w:ascii="Century Gothic" w:hAnsi="Century Gothic" w:cs="Century Gothic"/>
          <w:b/>
          <w:bCs/>
          <w:noProof/>
          <w:sz w:val="20"/>
          <w:szCs w:val="20"/>
        </w:rPr>
        <w:drawing>
          <wp:inline distT="0" distB="0" distL="0" distR="0" wp14:anchorId="276E4782" wp14:editId="2F409A1A">
            <wp:extent cx="6448425" cy="304800"/>
            <wp:effectExtent l="0" t="0" r="9525"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stretch450m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8425" cy="304800"/>
                    </a:xfrm>
                    <a:prstGeom prst="rect">
                      <a:avLst/>
                    </a:prstGeom>
                    <a:noFill/>
                    <a:ln>
                      <a:noFill/>
                    </a:ln>
                  </pic:spPr>
                </pic:pic>
              </a:graphicData>
            </a:graphic>
          </wp:inline>
        </w:drawing>
      </w:r>
    </w:p>
    <w:p w:rsidR="00660BA4" w:rsidRPr="00FC5F81" w:rsidRDefault="00660BA4" w:rsidP="00660BA4">
      <w:pPr>
        <w:tabs>
          <w:tab w:val="left" w:pos="-720"/>
        </w:tabs>
        <w:suppressAutoHyphens/>
        <w:spacing w:line="240" w:lineRule="atLeast"/>
        <w:ind w:left="2160" w:right="-720"/>
        <w:jc w:val="center"/>
        <w:rPr>
          <w:rFonts w:ascii="Georgia" w:hAnsi="Georgia" w:cs="Century Gothic"/>
          <w:b/>
          <w:bCs/>
        </w:rPr>
      </w:pPr>
      <w:r>
        <w:rPr>
          <w:noProof/>
        </w:rPr>
        <w:drawing>
          <wp:anchor distT="0" distB="0" distL="114300" distR="114300" simplePos="0" relativeHeight="251659264" behindDoc="1" locked="0" layoutInCell="1" allowOverlap="1" wp14:anchorId="5A4BC26A" wp14:editId="66302442">
            <wp:simplePos x="0" y="0"/>
            <wp:positionH relativeFrom="column">
              <wp:posOffset>-295275</wp:posOffset>
            </wp:positionH>
            <wp:positionV relativeFrom="paragraph">
              <wp:posOffset>38100</wp:posOffset>
            </wp:positionV>
            <wp:extent cx="1778000" cy="485775"/>
            <wp:effectExtent l="0" t="0" r="0" b="9525"/>
            <wp:wrapTight wrapText="bothSides">
              <wp:wrapPolygon edited="0">
                <wp:start x="0" y="0"/>
                <wp:lineTo x="0" y="16094"/>
                <wp:lineTo x="1389" y="21176"/>
                <wp:lineTo x="21291" y="21176"/>
                <wp:lineTo x="21291" y="2541"/>
                <wp:lineTo x="15274" y="0"/>
                <wp:lineTo x="0" y="0"/>
              </wp:wrapPolygon>
            </wp:wrapTight>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468">
        <w:rPr>
          <w:rFonts w:ascii="Georgia" w:hAnsi="Georgia" w:cs="Century Gothic"/>
          <w:b/>
          <w:bCs/>
          <w:sz w:val="22"/>
          <w:szCs w:val="22"/>
        </w:rPr>
        <w:t xml:space="preserve">Senate </w:t>
      </w:r>
      <w:r>
        <w:rPr>
          <w:rFonts w:ascii="Georgia" w:hAnsi="Georgia" w:cs="Century Gothic"/>
          <w:b/>
          <w:bCs/>
          <w:sz w:val="22"/>
          <w:szCs w:val="22"/>
        </w:rPr>
        <w:t xml:space="preserve">Review and </w:t>
      </w:r>
      <w:r w:rsidRPr="002F6468">
        <w:rPr>
          <w:rFonts w:ascii="Georgia" w:hAnsi="Georgia" w:cs="Century Gothic"/>
          <w:b/>
          <w:bCs/>
          <w:sz w:val="22"/>
          <w:szCs w:val="22"/>
        </w:rPr>
        <w:t>Recommendation</w:t>
      </w:r>
      <w:r>
        <w:rPr>
          <w:rFonts w:ascii="Georgia" w:hAnsi="Georgia" w:cs="Century Gothic"/>
          <w:b/>
          <w:bCs/>
        </w:rPr>
        <w:t xml:space="preserve">                           </w:t>
      </w:r>
      <w:r w:rsidRPr="00963053">
        <w:rPr>
          <w:rFonts w:ascii="Georgia" w:hAnsi="Georgia" w:cs="Century Gothic"/>
          <w:b/>
          <w:bCs/>
          <w:sz w:val="20"/>
          <w:szCs w:val="20"/>
        </w:rPr>
        <w:br/>
      </w:r>
      <w:r w:rsidR="001E430F" w:rsidRPr="001E430F">
        <w:rPr>
          <w:b/>
          <w:sz w:val="28"/>
          <w:szCs w:val="28"/>
        </w:rPr>
        <w:t>School of Extended and Lifelong Learning</w:t>
      </w:r>
    </w:p>
    <w:p w:rsidR="005D43C2" w:rsidRPr="00660BA4" w:rsidRDefault="00660BA4" w:rsidP="00660BA4">
      <w:pPr>
        <w:jc w:val="center"/>
        <w:rPr>
          <w:b/>
        </w:rPr>
      </w:pPr>
      <w:r>
        <w:t xml:space="preserve">  </w:t>
      </w:r>
      <w:r w:rsidR="0077015D">
        <w:pict w14:anchorId="4CBA0863">
          <v:rect id="_x0000_i1025" style="width:498.95pt;height:.05pt" o:hrpct="990" o:hralign="center" o:hrstd="t" o:hr="t" fillcolor="#aca899" stroked="f"/>
        </w:pict>
      </w:r>
    </w:p>
    <w:p w:rsidR="00AA541F" w:rsidRPr="00AA541F" w:rsidRDefault="00AA541F" w:rsidP="00AA541F">
      <w:pPr>
        <w:rPr>
          <w:b/>
        </w:rPr>
      </w:pPr>
      <w:r w:rsidRPr="00AA541F">
        <w:rPr>
          <w:b/>
        </w:rPr>
        <w:t>A.</w:t>
      </w:r>
      <w:r>
        <w:rPr>
          <w:b/>
        </w:rPr>
        <w:t xml:space="preserve">  </w:t>
      </w:r>
      <w:r w:rsidRPr="00AA541F">
        <w:rPr>
          <w:b/>
        </w:rPr>
        <w:t>Written Report Summary</w:t>
      </w:r>
    </w:p>
    <w:p w:rsidR="00A13370" w:rsidRDefault="00A13370" w:rsidP="00A13370">
      <w:pPr>
        <w:rPr>
          <w:b/>
        </w:rPr>
      </w:pPr>
    </w:p>
    <w:p w:rsidR="001B6A42" w:rsidRPr="001B6A42" w:rsidRDefault="005D43C2" w:rsidP="001B6A42">
      <w:pPr>
        <w:pStyle w:val="ListParagraph"/>
        <w:numPr>
          <w:ilvl w:val="0"/>
          <w:numId w:val="3"/>
        </w:numPr>
        <w:tabs>
          <w:tab w:val="left" w:pos="270"/>
        </w:tabs>
        <w:rPr>
          <w:b/>
        </w:rPr>
      </w:pPr>
      <w:r w:rsidRPr="00A13370">
        <w:rPr>
          <w:b/>
        </w:rPr>
        <w:t>Purpose:</w:t>
      </w:r>
      <w:r>
        <w:t xml:space="preserve">  </w:t>
      </w:r>
      <w:r w:rsidR="001B27C9">
        <w:t xml:space="preserve">This is the first review of </w:t>
      </w:r>
      <w:r w:rsidR="001B6A42">
        <w:t>t</w:t>
      </w:r>
      <w:r w:rsidR="001B6A42" w:rsidRPr="001B6A42">
        <w:t xml:space="preserve">he </w:t>
      </w:r>
      <w:proofErr w:type="spellStart"/>
      <w:r w:rsidR="001B6A42" w:rsidRPr="001B6A42">
        <w:t>Osher</w:t>
      </w:r>
      <w:proofErr w:type="spellEnd"/>
      <w:r w:rsidR="001B6A42" w:rsidRPr="001B6A42">
        <w:t xml:space="preserve"> Lifelong Learning Institute at the University </w:t>
      </w:r>
      <w:proofErr w:type="gramStart"/>
      <w:r w:rsidR="001B6A42" w:rsidRPr="001B6A42">
        <w:t>of</w:t>
      </w:r>
      <w:proofErr w:type="gramEnd"/>
      <w:r w:rsidR="001B6A42" w:rsidRPr="001B6A42">
        <w:t xml:space="preserve"> Montana </w:t>
      </w:r>
      <w:r w:rsidR="001B6A42">
        <w:t>(MOLLI</w:t>
      </w:r>
      <w:r w:rsidR="001B27C9">
        <w:t xml:space="preserve">). </w:t>
      </w:r>
      <w:r w:rsidR="001B6A42">
        <w:t xml:space="preserve"> MOLLI was started in 2005 and </w:t>
      </w:r>
      <w:r w:rsidR="001B6A42" w:rsidRPr="001B6A42">
        <w:t>offers an array of educational and social opportunities that promote the lifelong learning and personal growth of individuals through a diverse collection of noncredit short courses, special member events, lectures, and community activities.</w:t>
      </w:r>
    </w:p>
    <w:p w:rsidR="001B27C9" w:rsidRPr="001B27C9" w:rsidRDefault="001B27C9" w:rsidP="001B27C9">
      <w:pPr>
        <w:tabs>
          <w:tab w:val="left" w:pos="270"/>
        </w:tabs>
        <w:rPr>
          <w:b/>
        </w:rPr>
      </w:pPr>
    </w:p>
    <w:p w:rsidR="007F0994" w:rsidRDefault="005D43C2" w:rsidP="007F0994">
      <w:pPr>
        <w:pStyle w:val="ListParagraph"/>
        <w:numPr>
          <w:ilvl w:val="0"/>
          <w:numId w:val="3"/>
        </w:numPr>
        <w:tabs>
          <w:tab w:val="left" w:pos="270"/>
        </w:tabs>
      </w:pPr>
      <w:r w:rsidRPr="001B6A42">
        <w:rPr>
          <w:b/>
        </w:rPr>
        <w:t>Objectives:</w:t>
      </w:r>
      <w:r w:rsidR="007F0994" w:rsidRPr="001B6A42">
        <w:rPr>
          <w:b/>
        </w:rPr>
        <w:t xml:space="preserve">  </w:t>
      </w:r>
      <w:r w:rsidRPr="001B6A42">
        <w:rPr>
          <w:b/>
        </w:rPr>
        <w:t xml:space="preserve"> </w:t>
      </w:r>
      <w:r w:rsidR="001B6A42">
        <w:t>MOLLI’s</w:t>
      </w:r>
      <w:r w:rsidR="00E8070B" w:rsidRPr="00E8070B">
        <w:t xml:space="preserve"> </w:t>
      </w:r>
      <w:r w:rsidR="00E8070B">
        <w:t xml:space="preserve">primary </w:t>
      </w:r>
      <w:r w:rsidR="00E8070B" w:rsidRPr="00E8070B">
        <w:t>objective is to broadly</w:t>
      </w:r>
      <w:r w:rsidR="00E8070B" w:rsidRPr="001B6A42">
        <w:rPr>
          <w:b/>
        </w:rPr>
        <w:t xml:space="preserve"> c</w:t>
      </w:r>
      <w:r w:rsidR="00E8070B">
        <w:t xml:space="preserve">ollaborate with campus and community partners to develop and support </w:t>
      </w:r>
      <w:r w:rsidR="001B6A42">
        <w:t>educational opportunities for</w:t>
      </w:r>
      <w:r w:rsidR="00E8070B">
        <w:t xml:space="preserve"> </w:t>
      </w:r>
      <w:r w:rsidR="001B6A42">
        <w:t>non-traditional and returning adult students.</w:t>
      </w:r>
    </w:p>
    <w:p w:rsidR="001B6A42" w:rsidRDefault="001B6A42" w:rsidP="001B6A42">
      <w:pPr>
        <w:tabs>
          <w:tab w:val="left" w:pos="270"/>
        </w:tabs>
      </w:pPr>
    </w:p>
    <w:p w:rsidR="00BF38D0" w:rsidRDefault="00BF38D0" w:rsidP="00A13370">
      <w:pPr>
        <w:pStyle w:val="ListParagraph"/>
        <w:numPr>
          <w:ilvl w:val="0"/>
          <w:numId w:val="3"/>
        </w:numPr>
        <w:tabs>
          <w:tab w:val="left" w:pos="270"/>
        </w:tabs>
        <w:rPr>
          <w:b/>
        </w:rPr>
      </w:pPr>
      <w:r w:rsidRPr="00A13370">
        <w:rPr>
          <w:b/>
        </w:rPr>
        <w:t>Anticipated Activities</w:t>
      </w:r>
      <w:r w:rsidR="007F0994">
        <w:rPr>
          <w:b/>
        </w:rPr>
        <w:t>:</w:t>
      </w:r>
    </w:p>
    <w:p w:rsidR="007F0994" w:rsidRDefault="007F0994" w:rsidP="007F0994">
      <w:pPr>
        <w:tabs>
          <w:tab w:val="left" w:pos="270"/>
        </w:tabs>
        <w:rPr>
          <w:b/>
        </w:rPr>
      </w:pPr>
    </w:p>
    <w:p w:rsidR="00ED1BBB" w:rsidRDefault="00ED1BBB" w:rsidP="00E8070B">
      <w:pPr>
        <w:tabs>
          <w:tab w:val="left" w:pos="270"/>
        </w:tabs>
        <w:ind w:left="720"/>
      </w:pPr>
      <w:r>
        <w:t>During AY 2015-2016, MOLLI delivered</w:t>
      </w:r>
      <w:r w:rsidR="00E8070B" w:rsidRPr="00E8070B">
        <w:t xml:space="preserve"> 64 courses during fall, winter, spring, and summer </w:t>
      </w:r>
      <w:r>
        <w:t xml:space="preserve">of </w:t>
      </w:r>
      <w:r w:rsidR="00E8070B" w:rsidRPr="00E8070B">
        <w:t xml:space="preserve">and served 2,770 members. </w:t>
      </w:r>
      <w:r w:rsidR="001B6A42" w:rsidRPr="001B6A42">
        <w:t xml:space="preserve">In 2014 </w:t>
      </w:r>
      <w:r w:rsidR="001B6A42">
        <w:t>MOLLI received</w:t>
      </w:r>
      <w:r w:rsidR="009B7325">
        <w:t xml:space="preserve"> </w:t>
      </w:r>
      <w:proofErr w:type="gramStart"/>
      <w:r w:rsidR="009B7325">
        <w:t xml:space="preserve">a </w:t>
      </w:r>
      <w:r w:rsidR="001B6A42" w:rsidRPr="001B6A42">
        <w:t xml:space="preserve"> $</w:t>
      </w:r>
      <w:proofErr w:type="gramEnd"/>
      <w:r w:rsidR="001B6A42" w:rsidRPr="001B6A42">
        <w:t xml:space="preserve">1 million endowment based on the quality of programs offered, maintaining a minimum of 1,000 annual memberships, and a successful and sustaining fund raising initiative. </w:t>
      </w:r>
      <w:r w:rsidR="009B7325">
        <w:t xml:space="preserve">MOLLI members were </w:t>
      </w:r>
      <w:r w:rsidR="001B6A42" w:rsidRPr="001B6A42">
        <w:t>also offer</w:t>
      </w:r>
      <w:r w:rsidR="009B7325">
        <w:t>ed</w:t>
      </w:r>
      <w:r w:rsidR="001B6A42" w:rsidRPr="001B6A42">
        <w:t xml:space="preserve"> special events throughout the year such as “Behind the Scenes at the Symphony: Pictures at an Exhibition,” “Ming Yan Cui --- Dancing in China during the Cultural Revolution,” as well as others. Special Member Events are one of the benefits of being a MOLLI member. The market value of the </w:t>
      </w:r>
      <w:proofErr w:type="spellStart"/>
      <w:r w:rsidR="001B6A42" w:rsidRPr="001B6A42">
        <w:t>Osher</w:t>
      </w:r>
      <w:proofErr w:type="spellEnd"/>
      <w:r w:rsidR="001B6A42" w:rsidRPr="001B6A42">
        <w:t xml:space="preserve"> Endowment as of July 1, 2016 is $2,276,435.</w:t>
      </w:r>
    </w:p>
    <w:p w:rsidR="001B6A42" w:rsidRPr="001B6A42" w:rsidRDefault="001B6A42" w:rsidP="001B6A42">
      <w:pPr>
        <w:pStyle w:val="ListParagraph"/>
        <w:tabs>
          <w:tab w:val="left" w:pos="270"/>
        </w:tabs>
      </w:pPr>
    </w:p>
    <w:p w:rsidR="004E66F0" w:rsidRPr="00FB489B" w:rsidRDefault="00D4118B" w:rsidP="00522346">
      <w:pPr>
        <w:pStyle w:val="ListParagraph"/>
        <w:numPr>
          <w:ilvl w:val="0"/>
          <w:numId w:val="3"/>
        </w:numPr>
        <w:tabs>
          <w:tab w:val="left" w:pos="270"/>
        </w:tabs>
      </w:pPr>
      <w:r w:rsidRPr="00A13370">
        <w:rPr>
          <w:b/>
        </w:rPr>
        <w:t xml:space="preserve">Other organizations involved: </w:t>
      </w:r>
    </w:p>
    <w:p w:rsidR="00FB489B" w:rsidRDefault="00FB489B" w:rsidP="00FB489B">
      <w:pPr>
        <w:tabs>
          <w:tab w:val="left" w:pos="270"/>
        </w:tabs>
      </w:pPr>
    </w:p>
    <w:p w:rsidR="001B27C9" w:rsidRDefault="001B27C9" w:rsidP="001B27C9">
      <w:pPr>
        <w:pStyle w:val="ListParagraph"/>
        <w:tabs>
          <w:tab w:val="left" w:pos="270"/>
        </w:tabs>
      </w:pPr>
      <w:r>
        <w:t xml:space="preserve"> </w:t>
      </w:r>
      <w:proofErr w:type="gramStart"/>
      <w:r>
        <w:t xml:space="preserve">The Bernard </w:t>
      </w:r>
      <w:proofErr w:type="spellStart"/>
      <w:r>
        <w:t>Osher</w:t>
      </w:r>
      <w:proofErr w:type="spellEnd"/>
      <w:r>
        <w:t xml:space="preserve"> Foundation</w:t>
      </w:r>
      <w:r w:rsidR="00AC758E">
        <w:t>.</w:t>
      </w:r>
      <w:proofErr w:type="gramEnd"/>
    </w:p>
    <w:p w:rsidR="001B27C9" w:rsidRPr="004E66F0" w:rsidRDefault="001B27C9" w:rsidP="001B27C9">
      <w:pPr>
        <w:pStyle w:val="ListParagraph"/>
        <w:tabs>
          <w:tab w:val="left" w:pos="270"/>
        </w:tabs>
      </w:pPr>
    </w:p>
    <w:p w:rsidR="00A54ABD" w:rsidRDefault="00A54ABD" w:rsidP="001B27C9">
      <w:pPr>
        <w:pStyle w:val="ListParagraph"/>
        <w:numPr>
          <w:ilvl w:val="0"/>
          <w:numId w:val="3"/>
        </w:numPr>
        <w:tabs>
          <w:tab w:val="left" w:pos="270"/>
        </w:tabs>
      </w:pPr>
      <w:r w:rsidRPr="001B27C9">
        <w:rPr>
          <w:b/>
        </w:rPr>
        <w:t xml:space="preserve">Reporting line:  </w:t>
      </w:r>
      <w:r w:rsidR="001B27C9" w:rsidRPr="001B27C9">
        <w:t>SELL reports to the Provost and Vice president of Academic Affairs.</w:t>
      </w:r>
      <w:r w:rsidR="00822E19">
        <w:t xml:space="preserve"> </w:t>
      </w:r>
    </w:p>
    <w:p w:rsidR="001B27C9" w:rsidRDefault="001B27C9" w:rsidP="001B27C9">
      <w:pPr>
        <w:pStyle w:val="ListParagraph"/>
        <w:tabs>
          <w:tab w:val="left" w:pos="270"/>
        </w:tabs>
      </w:pPr>
    </w:p>
    <w:p w:rsidR="003174D8" w:rsidRDefault="00A54ABD" w:rsidP="003174D8">
      <w:pPr>
        <w:pStyle w:val="ListParagraph"/>
        <w:numPr>
          <w:ilvl w:val="0"/>
          <w:numId w:val="3"/>
        </w:numPr>
        <w:tabs>
          <w:tab w:val="left" w:pos="270"/>
        </w:tabs>
      </w:pPr>
      <w:r w:rsidRPr="00AC758E">
        <w:rPr>
          <w:b/>
        </w:rPr>
        <w:t>Relationships with institut</w:t>
      </w:r>
      <w:r w:rsidR="001C4785" w:rsidRPr="00AC758E">
        <w:rPr>
          <w:b/>
        </w:rPr>
        <w:t xml:space="preserve">ional mission and contribution </w:t>
      </w:r>
      <w:r w:rsidRPr="00AC758E">
        <w:rPr>
          <w:b/>
        </w:rPr>
        <w:t>to academic programs</w:t>
      </w:r>
      <w:r w:rsidR="00AC758E" w:rsidRPr="00AC758E">
        <w:rPr>
          <w:b/>
        </w:rPr>
        <w:t xml:space="preserve">: </w:t>
      </w:r>
      <w:r w:rsidR="003174D8">
        <w:t>MOLLI connects the campus with the community to deliver educational programs</w:t>
      </w:r>
      <w:r w:rsidR="00AC758E">
        <w:t xml:space="preserve"> for non-traditional and returning adult students</w:t>
      </w:r>
      <w:r w:rsidR="003174D8">
        <w:t xml:space="preserve">. </w:t>
      </w:r>
    </w:p>
    <w:p w:rsidR="00AC758E" w:rsidRPr="00822E19" w:rsidRDefault="00AC758E" w:rsidP="00AC758E">
      <w:pPr>
        <w:tabs>
          <w:tab w:val="left" w:pos="270"/>
        </w:tabs>
      </w:pPr>
    </w:p>
    <w:p w:rsidR="00C05361" w:rsidRDefault="00AD5DA4" w:rsidP="00D15BDD">
      <w:pPr>
        <w:pStyle w:val="ListParagraph"/>
        <w:numPr>
          <w:ilvl w:val="0"/>
          <w:numId w:val="3"/>
        </w:numPr>
        <w:tabs>
          <w:tab w:val="left" w:pos="270"/>
        </w:tabs>
      </w:pPr>
      <w:r w:rsidRPr="00AC758E">
        <w:rPr>
          <w:b/>
        </w:rPr>
        <w:t xml:space="preserve">Similar Programs:  </w:t>
      </w:r>
      <w:r w:rsidR="004612CD" w:rsidRPr="004612CD">
        <w:t xml:space="preserve">There are </w:t>
      </w:r>
      <w:r w:rsidR="00BD06C2">
        <w:t>a number of</w:t>
      </w:r>
      <w:r w:rsidR="004612CD" w:rsidRPr="004612CD">
        <w:t xml:space="preserve"> programs similar to </w:t>
      </w:r>
      <w:r w:rsidR="00AC758E">
        <w:t>MOLLI</w:t>
      </w:r>
      <w:r w:rsidR="004612CD" w:rsidRPr="004612CD">
        <w:t xml:space="preserve"> within </w:t>
      </w:r>
      <w:r w:rsidR="00D15BDD">
        <w:t xml:space="preserve">the </w:t>
      </w:r>
      <w:r w:rsidR="004612CD" w:rsidRPr="004612CD">
        <w:t xml:space="preserve">state of Montana </w:t>
      </w:r>
      <w:r w:rsidR="00BD06C2">
        <w:t>and</w:t>
      </w:r>
      <w:r w:rsidR="004612CD" w:rsidRPr="004612CD">
        <w:t xml:space="preserve"> regionally. </w:t>
      </w:r>
    </w:p>
    <w:p w:rsidR="00C05361" w:rsidRDefault="00C05361" w:rsidP="00C05361">
      <w:pPr>
        <w:tabs>
          <w:tab w:val="left" w:pos="270"/>
        </w:tabs>
        <w:ind w:left="360"/>
      </w:pPr>
    </w:p>
    <w:p w:rsidR="004612CD" w:rsidRDefault="00AA541F" w:rsidP="00D15BDD">
      <w:pPr>
        <w:tabs>
          <w:tab w:val="left" w:pos="270"/>
        </w:tabs>
        <w:ind w:left="360"/>
      </w:pPr>
      <w:r>
        <w:rPr>
          <w:b/>
        </w:rPr>
        <w:lastRenderedPageBreak/>
        <w:t>8.</w:t>
      </w:r>
      <w:r>
        <w:rPr>
          <w:b/>
        </w:rPr>
        <w:tab/>
      </w:r>
      <w:r w:rsidR="00AD5DA4" w:rsidRPr="00C05361">
        <w:rPr>
          <w:b/>
        </w:rPr>
        <w:t>Budget</w:t>
      </w:r>
      <w:r w:rsidR="004612CD" w:rsidRPr="00C05361">
        <w:rPr>
          <w:b/>
        </w:rPr>
        <w:t xml:space="preserve">:  </w:t>
      </w:r>
      <w:r w:rsidR="00AC758E">
        <w:t>MOLLI is</w:t>
      </w:r>
      <w:r w:rsidR="00481909" w:rsidRPr="00481909">
        <w:t xml:space="preserve"> 100% self-</w:t>
      </w:r>
      <w:r w:rsidR="00481909" w:rsidRPr="00DB57EB">
        <w:t>support</w:t>
      </w:r>
      <w:r w:rsidR="00DB57EB" w:rsidRPr="00DB57EB">
        <w:t>ing</w:t>
      </w:r>
      <w:r w:rsidR="00DB57EB">
        <w:rPr>
          <w:b/>
        </w:rPr>
        <w:t xml:space="preserve"> </w:t>
      </w:r>
      <w:r w:rsidR="00AB145C" w:rsidRPr="00AB145C">
        <w:t>a</w:t>
      </w:r>
      <w:r w:rsidR="00481909" w:rsidRPr="00AB145C">
        <w:t>s</w:t>
      </w:r>
      <w:r w:rsidR="00481909">
        <w:t xml:space="preserve"> of July 1, 2016. </w:t>
      </w:r>
    </w:p>
    <w:p w:rsidR="00AA541F" w:rsidRDefault="00AA541F" w:rsidP="00AA541F">
      <w:pPr>
        <w:pStyle w:val="ListParagraph"/>
        <w:tabs>
          <w:tab w:val="left" w:pos="270"/>
        </w:tabs>
        <w:rPr>
          <w:b/>
        </w:rPr>
      </w:pPr>
    </w:p>
    <w:p w:rsidR="00D15BDD" w:rsidRDefault="004612CD" w:rsidP="00D15BDD">
      <w:pPr>
        <w:pStyle w:val="ListParagraph"/>
        <w:numPr>
          <w:ilvl w:val="0"/>
          <w:numId w:val="3"/>
        </w:numPr>
        <w:tabs>
          <w:tab w:val="left" w:pos="270"/>
        </w:tabs>
      </w:pPr>
      <w:r w:rsidRPr="00D15BDD">
        <w:rPr>
          <w:b/>
        </w:rPr>
        <w:t xml:space="preserve">Need and cost for new faculty (next five years): </w:t>
      </w:r>
      <w:r w:rsidRPr="004612CD">
        <w:t xml:space="preserve"> Staffing levels are </w:t>
      </w:r>
    </w:p>
    <w:p w:rsidR="004612CD" w:rsidRPr="00D15BDD" w:rsidRDefault="004612CD" w:rsidP="00D15BDD">
      <w:pPr>
        <w:pStyle w:val="ListParagraph"/>
        <w:tabs>
          <w:tab w:val="left" w:pos="270"/>
        </w:tabs>
        <w:rPr>
          <w:b/>
        </w:rPr>
      </w:pPr>
      <w:proofErr w:type="gramStart"/>
      <w:r w:rsidRPr="004612CD">
        <w:t>projected</w:t>
      </w:r>
      <w:proofErr w:type="gramEnd"/>
      <w:r w:rsidRPr="004612CD">
        <w:t xml:space="preserve"> to remain stable over the next five years </w:t>
      </w:r>
    </w:p>
    <w:p w:rsidR="00481403" w:rsidRDefault="00481403" w:rsidP="00002240">
      <w:pPr>
        <w:tabs>
          <w:tab w:val="left" w:pos="270"/>
        </w:tabs>
        <w:ind w:left="990"/>
      </w:pPr>
    </w:p>
    <w:p w:rsidR="004612CD" w:rsidRDefault="00AA541F" w:rsidP="00AA541F">
      <w:pPr>
        <w:tabs>
          <w:tab w:val="left" w:pos="270"/>
        </w:tabs>
        <w:ind w:left="360"/>
      </w:pPr>
      <w:r>
        <w:rPr>
          <w:b/>
        </w:rPr>
        <w:t>10.</w:t>
      </w:r>
      <w:r>
        <w:rPr>
          <w:b/>
        </w:rPr>
        <w:tab/>
      </w:r>
      <w:r w:rsidR="00D15BDD">
        <w:rPr>
          <w:b/>
        </w:rPr>
        <w:t xml:space="preserve"> </w:t>
      </w:r>
      <w:r>
        <w:rPr>
          <w:b/>
        </w:rPr>
        <w:t>N</w:t>
      </w:r>
      <w:r w:rsidR="00481403" w:rsidRPr="00AA541F">
        <w:rPr>
          <w:b/>
        </w:rPr>
        <w:t xml:space="preserve">eed for other personnel: </w:t>
      </w:r>
      <w:r w:rsidR="004612CD">
        <w:t>See above.</w:t>
      </w:r>
    </w:p>
    <w:p w:rsidR="003305BB" w:rsidRDefault="004612CD" w:rsidP="004612CD">
      <w:pPr>
        <w:pStyle w:val="ListParagraph"/>
        <w:tabs>
          <w:tab w:val="left" w:pos="270"/>
        </w:tabs>
      </w:pPr>
      <w:r>
        <w:t xml:space="preserve"> </w:t>
      </w:r>
    </w:p>
    <w:p w:rsidR="00481909" w:rsidRDefault="00AA541F" w:rsidP="00AA541F">
      <w:pPr>
        <w:tabs>
          <w:tab w:val="left" w:pos="270"/>
        </w:tabs>
        <w:ind w:left="360"/>
      </w:pPr>
      <w:r>
        <w:rPr>
          <w:b/>
        </w:rPr>
        <w:t xml:space="preserve">11. </w:t>
      </w:r>
      <w:r w:rsidR="00002240" w:rsidRPr="00AA541F">
        <w:rPr>
          <w:b/>
        </w:rPr>
        <w:t>University resources – use and ant</w:t>
      </w:r>
      <w:r w:rsidR="0061352E" w:rsidRPr="00AA541F">
        <w:rPr>
          <w:b/>
        </w:rPr>
        <w:t>icipated needs (next five years</w:t>
      </w:r>
      <w:r w:rsidR="0061352E">
        <w:t xml:space="preserve">):  </w:t>
      </w:r>
    </w:p>
    <w:p w:rsidR="0061352E" w:rsidRDefault="00AC758E" w:rsidP="00D15BDD">
      <w:pPr>
        <w:tabs>
          <w:tab w:val="left" w:pos="270"/>
        </w:tabs>
        <w:ind w:left="810"/>
        <w:rPr>
          <w:b/>
        </w:rPr>
      </w:pPr>
      <w:r>
        <w:t>MOLLI</w:t>
      </w:r>
      <w:r w:rsidR="00D15BDD" w:rsidRPr="00D15BDD">
        <w:t xml:space="preserve"> do</w:t>
      </w:r>
      <w:r w:rsidR="00D15BDD">
        <w:t>es</w:t>
      </w:r>
      <w:r w:rsidR="00D15BDD" w:rsidRPr="00D15BDD">
        <w:t xml:space="preserve"> not anticipate any other computing, facility, or space needs at this time.</w:t>
      </w:r>
      <w:r w:rsidR="008E2794" w:rsidRPr="00D15BDD">
        <w:rPr>
          <w:b/>
        </w:rPr>
        <w:t xml:space="preserve"> </w:t>
      </w:r>
    </w:p>
    <w:p w:rsidR="00D15BDD" w:rsidRPr="00D15BDD" w:rsidRDefault="00D15BDD" w:rsidP="00D15BDD">
      <w:pPr>
        <w:tabs>
          <w:tab w:val="left" w:pos="270"/>
        </w:tabs>
        <w:ind w:left="360"/>
        <w:rPr>
          <w:b/>
        </w:rPr>
      </w:pPr>
    </w:p>
    <w:p w:rsidR="00D15BDD" w:rsidRDefault="00AA541F" w:rsidP="00AA541F">
      <w:pPr>
        <w:tabs>
          <w:tab w:val="left" w:pos="270"/>
          <w:tab w:val="left" w:pos="810"/>
        </w:tabs>
        <w:ind w:left="360"/>
      </w:pPr>
      <w:r>
        <w:rPr>
          <w:b/>
        </w:rPr>
        <w:t xml:space="preserve">12. </w:t>
      </w:r>
      <w:r w:rsidR="00002240" w:rsidRPr="00AA541F">
        <w:rPr>
          <w:b/>
        </w:rPr>
        <w:t xml:space="preserve">Library: </w:t>
      </w:r>
      <w:r w:rsidR="00AC758E">
        <w:t>MOLLI</w:t>
      </w:r>
      <w:r w:rsidR="00481909" w:rsidRPr="00481909">
        <w:t xml:space="preserve"> work</w:t>
      </w:r>
      <w:r w:rsidR="00481909">
        <w:t>s</w:t>
      </w:r>
      <w:r w:rsidR="00481909" w:rsidRPr="00481909">
        <w:t xml:space="preserve"> collaboratively with the Mansfield Library to provide </w:t>
      </w:r>
    </w:p>
    <w:p w:rsidR="00AA541F" w:rsidRDefault="00481909" w:rsidP="00D15BDD">
      <w:pPr>
        <w:tabs>
          <w:tab w:val="left" w:pos="270"/>
          <w:tab w:val="left" w:pos="810"/>
        </w:tabs>
        <w:ind w:left="810"/>
      </w:pPr>
      <w:proofErr w:type="gramStart"/>
      <w:r w:rsidRPr="00481909">
        <w:t>resource</w:t>
      </w:r>
      <w:proofErr w:type="gramEnd"/>
      <w:r w:rsidRPr="00481909">
        <w:t xml:space="preserve"> access for online, distance, and nontraditional students. </w:t>
      </w:r>
      <w:r w:rsidR="00D15BDD">
        <w:t xml:space="preserve">They do not anticipate any </w:t>
      </w:r>
      <w:r w:rsidR="00D15BDD" w:rsidRPr="00481909">
        <w:t>other</w:t>
      </w:r>
      <w:r w:rsidRPr="00481909">
        <w:t xml:space="preserve"> computing, facility, or space needs at this time.</w:t>
      </w:r>
    </w:p>
    <w:p w:rsidR="00D15BDD" w:rsidRDefault="00D15BDD" w:rsidP="00AA541F">
      <w:pPr>
        <w:tabs>
          <w:tab w:val="left" w:pos="270"/>
          <w:tab w:val="left" w:pos="810"/>
        </w:tabs>
        <w:ind w:left="360"/>
      </w:pPr>
    </w:p>
    <w:p w:rsidR="00AA541F" w:rsidRPr="00AA541F" w:rsidRDefault="00AA541F" w:rsidP="00AA541F">
      <w:pPr>
        <w:tabs>
          <w:tab w:val="left" w:pos="270"/>
          <w:tab w:val="left" w:pos="810"/>
        </w:tabs>
        <w:ind w:left="-576"/>
        <w:rPr>
          <w:b/>
        </w:rPr>
      </w:pPr>
      <w:r w:rsidRPr="00AA541F">
        <w:rPr>
          <w:b/>
        </w:rPr>
        <w:t>B. Review and Approval Process</w:t>
      </w:r>
    </w:p>
    <w:p w:rsidR="00AA541F" w:rsidRPr="00AA541F" w:rsidRDefault="00AA541F" w:rsidP="00AA541F">
      <w:pPr>
        <w:tabs>
          <w:tab w:val="left" w:pos="270"/>
          <w:tab w:val="left" w:pos="810"/>
        </w:tabs>
        <w:ind w:left="360"/>
        <w:rPr>
          <w:b/>
        </w:rPr>
      </w:pPr>
      <w:r w:rsidRPr="00AA541F">
        <w:rPr>
          <w:b/>
        </w:rPr>
        <w:br/>
      </w:r>
      <w:r w:rsidRPr="00AA541F">
        <w:t xml:space="preserve">The Faculty Senate through its Chair, who in turn shall distribute it to </w:t>
      </w:r>
      <w:smartTag w:uri="urn:schemas-microsoft-com:office:smarttags" w:element="PersonName">
        <w:r w:rsidRPr="00AA541F">
          <w:t>ECOS</w:t>
        </w:r>
      </w:smartTag>
      <w:r w:rsidRPr="00AA541F">
        <w:t xml:space="preserve"> and other committees, and approve or disapprove the proposal by a vote of the Senate.</w:t>
      </w:r>
      <w:r w:rsidRPr="00AA541F">
        <w:br/>
      </w:r>
    </w:p>
    <w:p w:rsidR="00AA541F" w:rsidRPr="00AA541F" w:rsidRDefault="00AA541F" w:rsidP="00AA541F">
      <w:pPr>
        <w:tabs>
          <w:tab w:val="left" w:pos="270"/>
          <w:tab w:val="left" w:pos="810"/>
        </w:tabs>
        <w:ind w:left="360"/>
        <w:rPr>
          <w:b/>
        </w:rPr>
      </w:pPr>
      <w:r w:rsidRPr="00AA541F">
        <w:rPr>
          <w:b/>
        </w:rPr>
        <w:t>1. Review in terms of Scope as stated in academic policy 100.0</w:t>
      </w:r>
    </w:p>
    <w:p w:rsidR="00AA541F" w:rsidRPr="00AA541F" w:rsidRDefault="00AA541F" w:rsidP="00AA541F">
      <w:pPr>
        <w:tabs>
          <w:tab w:val="left" w:pos="270"/>
          <w:tab w:val="left" w:pos="810"/>
        </w:tabs>
        <w:ind w:left="360"/>
        <w:rPr>
          <w:i/>
        </w:rPr>
      </w:pPr>
      <w:r w:rsidRPr="00AA541F">
        <w:br/>
      </w:r>
      <w:r w:rsidRPr="00AA541F">
        <w:rPr>
          <w:i/>
        </w:rPr>
        <w:t>To provide instruction, scholarship, or service to the University, state or world by: (1) focusing attention on an area of strength and/or addressing a critical issue, or (2) facilitating collaborative, multi-disciplinary endeavors to combine resources from several programs or institutions to address issues of common interest.</w:t>
      </w:r>
    </w:p>
    <w:p w:rsidR="00AA541F" w:rsidRPr="00AA541F" w:rsidRDefault="00AA541F" w:rsidP="00AA541F">
      <w:pPr>
        <w:tabs>
          <w:tab w:val="left" w:pos="270"/>
          <w:tab w:val="left" w:pos="810"/>
        </w:tabs>
        <w:ind w:left="360"/>
      </w:pPr>
    </w:p>
    <w:p w:rsidR="00552930" w:rsidRDefault="002F3F1D" w:rsidP="00AA541F">
      <w:pPr>
        <w:tabs>
          <w:tab w:val="left" w:pos="270"/>
          <w:tab w:val="left" w:pos="810"/>
        </w:tabs>
        <w:ind w:left="360"/>
      </w:pPr>
      <w:r>
        <w:t xml:space="preserve">MOLLI </w:t>
      </w:r>
      <w:r w:rsidR="00AA541F">
        <w:t xml:space="preserve">satisfies all of these criteria.  </w:t>
      </w:r>
    </w:p>
    <w:p w:rsidR="00AA541F" w:rsidRPr="00AA541F" w:rsidRDefault="00AA541F" w:rsidP="00AA541F">
      <w:pPr>
        <w:tabs>
          <w:tab w:val="left" w:pos="270"/>
          <w:tab w:val="left" w:pos="810"/>
        </w:tabs>
        <w:ind w:left="360"/>
        <w:rPr>
          <w:b/>
        </w:rPr>
      </w:pPr>
      <w:r w:rsidRPr="00AA541F">
        <w:tab/>
      </w:r>
      <w:r w:rsidRPr="00AA541F">
        <w:tab/>
      </w:r>
    </w:p>
    <w:p w:rsidR="00AA541F" w:rsidRPr="00AA541F" w:rsidRDefault="00AA541F" w:rsidP="00AA541F">
      <w:pPr>
        <w:tabs>
          <w:tab w:val="left" w:pos="270"/>
          <w:tab w:val="left" w:pos="810"/>
        </w:tabs>
        <w:ind w:left="360"/>
        <w:rPr>
          <w:b/>
        </w:rPr>
      </w:pPr>
      <w:r w:rsidRPr="00AA541F">
        <w:rPr>
          <w:b/>
        </w:rPr>
        <w:t>2. Review in terms of the University’s mission.</w:t>
      </w:r>
    </w:p>
    <w:p w:rsidR="00AA541F" w:rsidRPr="00AA541F" w:rsidRDefault="00AA541F" w:rsidP="00AA541F">
      <w:pPr>
        <w:tabs>
          <w:tab w:val="left" w:pos="270"/>
          <w:tab w:val="left" w:pos="810"/>
        </w:tabs>
        <w:ind w:left="360"/>
        <w:rPr>
          <w:b/>
        </w:rPr>
      </w:pPr>
    </w:p>
    <w:p w:rsidR="00AA541F" w:rsidRPr="00AA541F" w:rsidRDefault="00AA541F" w:rsidP="00AA541F">
      <w:pPr>
        <w:tabs>
          <w:tab w:val="left" w:pos="270"/>
          <w:tab w:val="left" w:pos="810"/>
        </w:tabs>
        <w:ind w:left="360"/>
        <w:rPr>
          <w:i/>
        </w:rPr>
      </w:pPr>
      <w:r w:rsidRPr="00AA541F">
        <w:rPr>
          <w:i/>
        </w:rPr>
        <w:t>The University of Montana pursues academic excellence as demonstrated by the quality of curriculum and instruction, student performance, and faculty professional accomplishments. The University accomplishes this mission, in part, by providing unique educational experiences through the integration of the liberal arts, graduate study, and professional training with international and interdisciplinary emphases. The University also educates competent and humane professionals and informed, ethical, and engaged citizens of local and global communities; and provides basic and applied research, technology transfer, cultural outreach, and service benefiting the local community, region, State, nation and the world.</w:t>
      </w:r>
      <w:r w:rsidRPr="00AA541F">
        <w:rPr>
          <w:i/>
        </w:rPr>
        <w:br/>
      </w:r>
    </w:p>
    <w:p w:rsidR="008C30A4" w:rsidRDefault="00AC758E" w:rsidP="00AA541F">
      <w:pPr>
        <w:tabs>
          <w:tab w:val="left" w:pos="270"/>
          <w:tab w:val="left" w:pos="810"/>
        </w:tabs>
        <w:ind w:left="360"/>
      </w:pPr>
      <w:r>
        <w:t xml:space="preserve">External reviewer </w:t>
      </w:r>
      <w:r w:rsidR="009D6A1A">
        <w:t xml:space="preserve">Dr. Deb Gearhart </w:t>
      </w:r>
      <w:r>
        <w:t xml:space="preserve">states that MOLLI is a strong unit within the School of Extended and </w:t>
      </w:r>
      <w:proofErr w:type="spellStart"/>
      <w:r>
        <w:t>LifeLong</w:t>
      </w:r>
      <w:proofErr w:type="spellEnd"/>
      <w:r>
        <w:t xml:space="preserve"> Learning</w:t>
      </w:r>
      <w:r w:rsidR="002F3F1D">
        <w:t xml:space="preserve"> (SELL)</w:t>
      </w:r>
      <w:r>
        <w:t xml:space="preserve">. </w:t>
      </w:r>
    </w:p>
    <w:p w:rsidR="002F3F1D" w:rsidRDefault="002F3F1D" w:rsidP="00AA541F">
      <w:pPr>
        <w:tabs>
          <w:tab w:val="left" w:pos="270"/>
          <w:tab w:val="left" w:pos="810"/>
        </w:tabs>
        <w:ind w:left="360"/>
        <w:rPr>
          <w:b/>
        </w:rPr>
      </w:pPr>
    </w:p>
    <w:p w:rsidR="00AA541F" w:rsidRPr="00AA541F" w:rsidRDefault="00AA541F" w:rsidP="00AA541F">
      <w:pPr>
        <w:tabs>
          <w:tab w:val="left" w:pos="270"/>
          <w:tab w:val="left" w:pos="810"/>
        </w:tabs>
        <w:ind w:left="360"/>
        <w:rPr>
          <w:b/>
        </w:rPr>
      </w:pPr>
      <w:proofErr w:type="gramStart"/>
      <w:r w:rsidRPr="00AA541F">
        <w:rPr>
          <w:b/>
        </w:rPr>
        <w:lastRenderedPageBreak/>
        <w:t>3. Does</w:t>
      </w:r>
      <w:proofErr w:type="gramEnd"/>
      <w:r w:rsidRPr="00AA541F">
        <w:rPr>
          <w:b/>
        </w:rPr>
        <w:t xml:space="preserve"> </w:t>
      </w:r>
      <w:smartTag w:uri="urn:schemas-microsoft-com:office:smarttags" w:element="PersonName">
        <w:r w:rsidRPr="00AA541F">
          <w:rPr>
            <w:b/>
          </w:rPr>
          <w:t>ECOS</w:t>
        </w:r>
      </w:smartTag>
      <w:r w:rsidRPr="00AA541F">
        <w:rPr>
          <w:b/>
        </w:rPr>
        <w:t xml:space="preserve">/Faculty Senate consider this center controversial? </w:t>
      </w:r>
    </w:p>
    <w:p w:rsidR="00AA541F" w:rsidRPr="00AA541F" w:rsidRDefault="00AA541F" w:rsidP="00AA541F">
      <w:pPr>
        <w:tabs>
          <w:tab w:val="left" w:pos="270"/>
          <w:tab w:val="left" w:pos="810"/>
        </w:tabs>
        <w:ind w:left="360"/>
        <w:rPr>
          <w:b/>
        </w:rPr>
      </w:pPr>
    </w:p>
    <w:p w:rsidR="008C30A4" w:rsidRDefault="00AA541F" w:rsidP="00AA541F">
      <w:pPr>
        <w:tabs>
          <w:tab w:val="left" w:pos="270"/>
          <w:tab w:val="left" w:pos="810"/>
        </w:tabs>
        <w:ind w:left="360"/>
      </w:pPr>
      <w:r w:rsidRPr="00AA541F">
        <w:t>No</w:t>
      </w:r>
      <w:r w:rsidR="008C30A4">
        <w:t>.</w:t>
      </w:r>
    </w:p>
    <w:p w:rsidR="00AA541F" w:rsidRPr="00AA541F" w:rsidRDefault="00AA541F" w:rsidP="00AA541F">
      <w:pPr>
        <w:tabs>
          <w:tab w:val="left" w:pos="270"/>
          <w:tab w:val="left" w:pos="810"/>
        </w:tabs>
        <w:ind w:left="360"/>
        <w:rPr>
          <w:b/>
        </w:rPr>
      </w:pPr>
    </w:p>
    <w:p w:rsidR="00AA541F" w:rsidRPr="00AA541F" w:rsidRDefault="00AA541F" w:rsidP="00AA541F">
      <w:pPr>
        <w:tabs>
          <w:tab w:val="left" w:pos="270"/>
          <w:tab w:val="left" w:pos="810"/>
        </w:tabs>
        <w:ind w:left="360"/>
        <w:rPr>
          <w:b/>
        </w:rPr>
      </w:pPr>
      <w:r w:rsidRPr="00AA541F">
        <w:rPr>
          <w:b/>
        </w:rPr>
        <w:t>4. Is the relationship with academic units beneficial?</w:t>
      </w:r>
    </w:p>
    <w:p w:rsidR="00AA541F" w:rsidRPr="00AA541F" w:rsidRDefault="00AA541F" w:rsidP="00AA541F">
      <w:pPr>
        <w:tabs>
          <w:tab w:val="left" w:pos="270"/>
          <w:tab w:val="left" w:pos="810"/>
        </w:tabs>
        <w:ind w:left="360"/>
      </w:pPr>
    </w:p>
    <w:p w:rsidR="008C30A4" w:rsidRDefault="008C30A4" w:rsidP="00AA541F">
      <w:pPr>
        <w:tabs>
          <w:tab w:val="left" w:pos="270"/>
          <w:tab w:val="left" w:pos="810"/>
        </w:tabs>
        <w:ind w:left="360"/>
      </w:pPr>
      <w:r>
        <w:t xml:space="preserve">Yes.  </w:t>
      </w:r>
    </w:p>
    <w:p w:rsidR="00AA541F" w:rsidRPr="00AA541F" w:rsidRDefault="00AA541F" w:rsidP="00AA541F">
      <w:pPr>
        <w:tabs>
          <w:tab w:val="left" w:pos="270"/>
          <w:tab w:val="left" w:pos="810"/>
        </w:tabs>
        <w:ind w:left="360"/>
      </w:pPr>
    </w:p>
    <w:p w:rsidR="00AA541F" w:rsidRPr="00AA541F" w:rsidRDefault="00AA541F" w:rsidP="00AA541F">
      <w:pPr>
        <w:tabs>
          <w:tab w:val="left" w:pos="270"/>
          <w:tab w:val="left" w:pos="810"/>
        </w:tabs>
        <w:ind w:left="360"/>
        <w:rPr>
          <w:b/>
        </w:rPr>
      </w:pPr>
      <w:r w:rsidRPr="00AA541F">
        <w:rPr>
          <w:b/>
        </w:rPr>
        <w:t>5. Is the program revenue neutral or does it consume more resources than it generates? If so, is the use of University resources justified?</w:t>
      </w:r>
    </w:p>
    <w:p w:rsidR="00AA541F" w:rsidRPr="00AA541F" w:rsidRDefault="00AA541F" w:rsidP="00AA541F">
      <w:pPr>
        <w:tabs>
          <w:tab w:val="left" w:pos="270"/>
          <w:tab w:val="left" w:pos="810"/>
        </w:tabs>
        <w:ind w:left="360"/>
        <w:rPr>
          <w:b/>
        </w:rPr>
      </w:pPr>
    </w:p>
    <w:p w:rsidR="00AA541F" w:rsidRPr="00AA541F" w:rsidRDefault="002F3F1D" w:rsidP="00AA541F">
      <w:pPr>
        <w:tabs>
          <w:tab w:val="left" w:pos="270"/>
          <w:tab w:val="left" w:pos="810"/>
        </w:tabs>
        <w:ind w:left="360"/>
      </w:pPr>
      <w:r>
        <w:t>MOLLI is</w:t>
      </w:r>
      <w:r w:rsidR="009D6A1A">
        <w:t xml:space="preserve"> 100% </w:t>
      </w:r>
      <w:r>
        <w:t>self-supported</w:t>
      </w:r>
      <w:r w:rsidR="009D6A1A">
        <w:t>.</w:t>
      </w:r>
    </w:p>
    <w:p w:rsidR="00AA541F" w:rsidRPr="00AA541F" w:rsidRDefault="00AA541F" w:rsidP="00AA541F">
      <w:pPr>
        <w:tabs>
          <w:tab w:val="left" w:pos="270"/>
          <w:tab w:val="left" w:pos="810"/>
        </w:tabs>
        <w:ind w:left="360"/>
      </w:pPr>
    </w:p>
    <w:p w:rsidR="00AA541F" w:rsidRPr="00AA541F" w:rsidRDefault="00AA541F" w:rsidP="00AA541F">
      <w:pPr>
        <w:tabs>
          <w:tab w:val="left" w:pos="270"/>
          <w:tab w:val="left" w:pos="810"/>
        </w:tabs>
        <w:ind w:left="360"/>
      </w:pPr>
      <w:r w:rsidRPr="00AA541F">
        <w:rPr>
          <w:b/>
        </w:rPr>
        <w:t>6. Is the entity making progress toward objectives?</w:t>
      </w:r>
      <w:r w:rsidRPr="00AA541F">
        <w:t xml:space="preserve"> </w:t>
      </w:r>
    </w:p>
    <w:p w:rsidR="00AA541F" w:rsidRPr="00AA541F" w:rsidRDefault="00AA541F" w:rsidP="00AA541F">
      <w:pPr>
        <w:tabs>
          <w:tab w:val="left" w:pos="270"/>
          <w:tab w:val="left" w:pos="810"/>
        </w:tabs>
        <w:ind w:left="360"/>
      </w:pPr>
    </w:p>
    <w:p w:rsidR="00AA541F" w:rsidRPr="00AA541F" w:rsidRDefault="00AA541F" w:rsidP="00AA541F">
      <w:pPr>
        <w:tabs>
          <w:tab w:val="left" w:pos="270"/>
          <w:tab w:val="left" w:pos="810"/>
        </w:tabs>
        <w:ind w:left="360"/>
        <w:rPr>
          <w:b/>
        </w:rPr>
      </w:pPr>
      <w:r w:rsidRPr="00AA541F">
        <w:t>Yes</w:t>
      </w:r>
      <w:r w:rsidR="008C30A4">
        <w:t>,</w:t>
      </w:r>
      <w:r w:rsidRPr="00AA541F">
        <w:t xml:space="preserve"> </w:t>
      </w:r>
      <w:r w:rsidR="008C30A4">
        <w:t>its</w:t>
      </w:r>
      <w:r w:rsidR="002F3F1D">
        <w:t xml:space="preserve"> activities and </w:t>
      </w:r>
      <w:r w:rsidRPr="00AA541F">
        <w:t>events</w:t>
      </w:r>
      <w:r w:rsidR="008C30A4">
        <w:t xml:space="preserve"> are in keeping</w:t>
      </w:r>
      <w:r w:rsidRPr="00AA541F">
        <w:t xml:space="preserve"> with the objectives set forth </w:t>
      </w:r>
      <w:r w:rsidR="009D6A1A">
        <w:t>in the objectives and mission statement</w:t>
      </w:r>
      <w:r w:rsidRPr="00AA541F">
        <w:t>.</w:t>
      </w:r>
      <w:r w:rsidRPr="00AA541F">
        <w:br/>
      </w:r>
    </w:p>
    <w:p w:rsidR="00AA541F" w:rsidRPr="00AA541F" w:rsidRDefault="00AA541F" w:rsidP="00AA541F">
      <w:pPr>
        <w:tabs>
          <w:tab w:val="left" w:pos="270"/>
          <w:tab w:val="left" w:pos="810"/>
        </w:tabs>
        <w:ind w:left="360"/>
        <w:rPr>
          <w:b/>
        </w:rPr>
      </w:pPr>
      <w:r w:rsidRPr="00AA541F">
        <w:rPr>
          <w:b/>
        </w:rPr>
        <w:t>7. Recommendation:</w:t>
      </w:r>
    </w:p>
    <w:p w:rsidR="00AA541F" w:rsidRPr="00AA541F" w:rsidRDefault="00AA541F" w:rsidP="00AA541F">
      <w:pPr>
        <w:tabs>
          <w:tab w:val="left" w:pos="270"/>
          <w:tab w:val="left" w:pos="810"/>
        </w:tabs>
        <w:ind w:left="360"/>
        <w:rPr>
          <w:b/>
        </w:rPr>
      </w:pPr>
    </w:p>
    <w:p w:rsidR="003750AD" w:rsidRDefault="00AA541F" w:rsidP="00AA541F">
      <w:pPr>
        <w:tabs>
          <w:tab w:val="left" w:pos="270"/>
          <w:tab w:val="left" w:pos="810"/>
        </w:tabs>
        <w:ind w:left="360"/>
      </w:pPr>
      <w:r w:rsidRPr="00AA541F">
        <w:t xml:space="preserve">ECOS recommends that </w:t>
      </w:r>
    </w:p>
    <w:p w:rsidR="00AA541F" w:rsidRPr="00AA541F" w:rsidRDefault="002F3F1D" w:rsidP="00AA541F">
      <w:pPr>
        <w:tabs>
          <w:tab w:val="left" w:pos="270"/>
          <w:tab w:val="left" w:pos="810"/>
        </w:tabs>
        <w:ind w:left="360"/>
      </w:pPr>
      <w:r>
        <w:t>MOLLI</w:t>
      </w:r>
      <w:r w:rsidR="00AA541F" w:rsidRPr="00AA541F">
        <w:t xml:space="preserve"> be continued.</w:t>
      </w:r>
    </w:p>
    <w:p w:rsidR="00AA541F" w:rsidRPr="00AA541F" w:rsidRDefault="00AA541F" w:rsidP="00AA541F">
      <w:pPr>
        <w:tabs>
          <w:tab w:val="left" w:pos="270"/>
          <w:tab w:val="left" w:pos="810"/>
        </w:tabs>
        <w:ind w:left="360"/>
        <w:rPr>
          <w:b/>
        </w:rPr>
      </w:pPr>
      <w:r w:rsidRPr="00AA541F">
        <w:rPr>
          <w:b/>
        </w:rPr>
        <w:t xml:space="preserve"> </w:t>
      </w:r>
      <w:r w:rsidRPr="00AA541F">
        <w:rPr>
          <w:b/>
        </w:rPr>
        <w:br/>
        <w:t>8. Justification:</w:t>
      </w:r>
    </w:p>
    <w:p w:rsidR="00AA541F" w:rsidRPr="00AA541F" w:rsidRDefault="00AA541F" w:rsidP="00AA541F">
      <w:pPr>
        <w:tabs>
          <w:tab w:val="left" w:pos="270"/>
          <w:tab w:val="left" w:pos="810"/>
        </w:tabs>
        <w:ind w:left="360"/>
        <w:rPr>
          <w:b/>
        </w:rPr>
      </w:pPr>
    </w:p>
    <w:p w:rsidR="00AA541F" w:rsidRDefault="00DB57EB" w:rsidP="00AA541F">
      <w:pPr>
        <w:tabs>
          <w:tab w:val="left" w:pos="270"/>
          <w:tab w:val="left" w:pos="810"/>
        </w:tabs>
        <w:ind w:left="360"/>
      </w:pPr>
      <w:r>
        <w:t>MOLLI</w:t>
      </w:r>
      <w:r w:rsidR="00AA541F" w:rsidRPr="00AA541F">
        <w:t xml:space="preserve"> should receive continued support from UM and the state because it </w:t>
      </w:r>
      <w:r>
        <w:t xml:space="preserve">provides </w:t>
      </w:r>
      <w:r w:rsidRPr="00DB57EB">
        <w:t>educational programs for non-traditional and returning adult students.</w:t>
      </w:r>
    </w:p>
    <w:p w:rsidR="00002240" w:rsidRDefault="00002240" w:rsidP="00002240">
      <w:pPr>
        <w:tabs>
          <w:tab w:val="left" w:pos="270"/>
          <w:tab w:val="left" w:pos="810"/>
        </w:tabs>
        <w:ind w:left="1080"/>
      </w:pPr>
    </w:p>
    <w:sectPr w:rsidR="00002240" w:rsidSect="009251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0B" w:rsidRDefault="00711E0B" w:rsidP="00AA541F">
      <w:r>
        <w:separator/>
      </w:r>
    </w:p>
  </w:endnote>
  <w:endnote w:type="continuationSeparator" w:id="0">
    <w:p w:rsidR="00711E0B" w:rsidRDefault="00711E0B" w:rsidP="00AA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0B" w:rsidRDefault="00711E0B" w:rsidP="00AA541F">
      <w:r>
        <w:separator/>
      </w:r>
    </w:p>
  </w:footnote>
  <w:footnote w:type="continuationSeparator" w:id="0">
    <w:p w:rsidR="00711E0B" w:rsidRDefault="00711E0B" w:rsidP="00AA5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307"/>
    <w:multiLevelType w:val="hybridMultilevel"/>
    <w:tmpl w:val="BA3ABF2E"/>
    <w:lvl w:ilvl="0" w:tplc="0300715C">
      <w:start w:val="1"/>
      <w:numFmt w:val="decimal"/>
      <w:lvlText w:val="%1."/>
      <w:lvlJc w:val="left"/>
      <w:pPr>
        <w:ind w:left="720" w:hanging="360"/>
      </w:pPr>
      <w:rPr>
        <w:b/>
      </w:rPr>
    </w:lvl>
    <w:lvl w:ilvl="1" w:tplc="407E784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93D7D"/>
    <w:multiLevelType w:val="hybridMultilevel"/>
    <w:tmpl w:val="3AB2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040D26"/>
    <w:multiLevelType w:val="hybridMultilevel"/>
    <w:tmpl w:val="1946ED56"/>
    <w:lvl w:ilvl="0" w:tplc="04090015">
      <w:start w:val="1"/>
      <w:numFmt w:val="upperLetter"/>
      <w:lvlText w:val="%1."/>
      <w:lvlJc w:val="left"/>
      <w:pPr>
        <w:ind w:left="360" w:hanging="360"/>
      </w:pPr>
      <w:rPr>
        <w:rFonts w:hint="default"/>
      </w:rPr>
    </w:lvl>
    <w:lvl w:ilvl="1" w:tplc="ACFE2236">
      <w:start w:val="1"/>
      <w:numFmt w:val="decimal"/>
      <w:lvlText w:val="%2."/>
      <w:lvlJc w:val="left"/>
      <w:pPr>
        <w:ind w:left="1080" w:hanging="360"/>
      </w:pPr>
      <w:rPr>
        <w:rFonts w:hint="default"/>
        <w:b/>
      </w:rPr>
    </w:lvl>
    <w:lvl w:ilvl="2" w:tplc="DBB4259A">
      <w:start w:val="1"/>
      <w:numFmt w:val="lowerLetter"/>
      <w:lvlText w:val="%3)"/>
      <w:lvlJc w:val="left"/>
      <w:pPr>
        <w:ind w:left="1980" w:hanging="360"/>
      </w:pPr>
      <w:rPr>
        <w:rFonts w:hint="default"/>
      </w:rPr>
    </w:lvl>
    <w:lvl w:ilvl="3" w:tplc="A3488686">
      <w:start w:val="1"/>
      <w:numFmt w:val="decimal"/>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B03CB1"/>
    <w:multiLevelType w:val="hybridMultilevel"/>
    <w:tmpl w:val="9A44BB3C"/>
    <w:lvl w:ilvl="0" w:tplc="398E89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976218"/>
    <w:multiLevelType w:val="hybridMultilevel"/>
    <w:tmpl w:val="89FC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84899"/>
    <w:multiLevelType w:val="hybridMultilevel"/>
    <w:tmpl w:val="1D50D6DE"/>
    <w:lvl w:ilvl="0" w:tplc="275A30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132AC"/>
    <w:multiLevelType w:val="hybridMultilevel"/>
    <w:tmpl w:val="606EE32E"/>
    <w:lvl w:ilvl="0" w:tplc="22F8CB7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C2"/>
    <w:rsid w:val="00002240"/>
    <w:rsid w:val="00053847"/>
    <w:rsid w:val="0006018F"/>
    <w:rsid w:val="00084DAA"/>
    <w:rsid w:val="000C7D44"/>
    <w:rsid w:val="00172A42"/>
    <w:rsid w:val="001B27C9"/>
    <w:rsid w:val="001B6A42"/>
    <w:rsid w:val="001C4785"/>
    <w:rsid w:val="001E430F"/>
    <w:rsid w:val="0021730F"/>
    <w:rsid w:val="002F3F1D"/>
    <w:rsid w:val="003174D8"/>
    <w:rsid w:val="003305BB"/>
    <w:rsid w:val="0036441D"/>
    <w:rsid w:val="003750AD"/>
    <w:rsid w:val="003838D7"/>
    <w:rsid w:val="004612CD"/>
    <w:rsid w:val="00474559"/>
    <w:rsid w:val="00481403"/>
    <w:rsid w:val="00481909"/>
    <w:rsid w:val="004E66F0"/>
    <w:rsid w:val="00522346"/>
    <w:rsid w:val="00552930"/>
    <w:rsid w:val="005D43C2"/>
    <w:rsid w:val="0061352E"/>
    <w:rsid w:val="006243D7"/>
    <w:rsid w:val="00633A9D"/>
    <w:rsid w:val="00660BA4"/>
    <w:rsid w:val="006B09E9"/>
    <w:rsid w:val="006C631E"/>
    <w:rsid w:val="00711E0B"/>
    <w:rsid w:val="0077015D"/>
    <w:rsid w:val="007B1CC4"/>
    <w:rsid w:val="007F0994"/>
    <w:rsid w:val="00822E19"/>
    <w:rsid w:val="00824153"/>
    <w:rsid w:val="00827CF1"/>
    <w:rsid w:val="008C30A4"/>
    <w:rsid w:val="008E2794"/>
    <w:rsid w:val="009251EC"/>
    <w:rsid w:val="009B7325"/>
    <w:rsid w:val="009D6A1A"/>
    <w:rsid w:val="00A13370"/>
    <w:rsid w:val="00A54ABD"/>
    <w:rsid w:val="00A63CD1"/>
    <w:rsid w:val="00AA541F"/>
    <w:rsid w:val="00AB145C"/>
    <w:rsid w:val="00AC758E"/>
    <w:rsid w:val="00AD05D2"/>
    <w:rsid w:val="00AD5DA4"/>
    <w:rsid w:val="00AD6DDD"/>
    <w:rsid w:val="00AE1C12"/>
    <w:rsid w:val="00AF59BD"/>
    <w:rsid w:val="00BD06C2"/>
    <w:rsid w:val="00BE504F"/>
    <w:rsid w:val="00BF38D0"/>
    <w:rsid w:val="00C05361"/>
    <w:rsid w:val="00C80043"/>
    <w:rsid w:val="00CA3ECC"/>
    <w:rsid w:val="00D15BDD"/>
    <w:rsid w:val="00D4118B"/>
    <w:rsid w:val="00DB57EB"/>
    <w:rsid w:val="00E1054C"/>
    <w:rsid w:val="00E25CA7"/>
    <w:rsid w:val="00E5229D"/>
    <w:rsid w:val="00E776BB"/>
    <w:rsid w:val="00E8070B"/>
    <w:rsid w:val="00ED1BBB"/>
    <w:rsid w:val="00F801AE"/>
    <w:rsid w:val="00FB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43"/>
    <w:pPr>
      <w:ind w:left="720"/>
      <w:contextualSpacing/>
    </w:pPr>
  </w:style>
  <w:style w:type="paragraph" w:styleId="BalloonText">
    <w:name w:val="Balloon Text"/>
    <w:basedOn w:val="Normal"/>
    <w:link w:val="BalloonTextChar"/>
    <w:uiPriority w:val="99"/>
    <w:semiHidden/>
    <w:unhideWhenUsed/>
    <w:rsid w:val="00660BA4"/>
    <w:rPr>
      <w:rFonts w:ascii="Tahoma" w:hAnsi="Tahoma" w:cs="Tahoma"/>
      <w:sz w:val="16"/>
      <w:szCs w:val="16"/>
    </w:rPr>
  </w:style>
  <w:style w:type="character" w:customStyle="1" w:styleId="BalloonTextChar">
    <w:name w:val="Balloon Text Char"/>
    <w:basedOn w:val="DefaultParagraphFont"/>
    <w:link w:val="BalloonText"/>
    <w:uiPriority w:val="99"/>
    <w:semiHidden/>
    <w:rsid w:val="00660BA4"/>
    <w:rPr>
      <w:rFonts w:ascii="Tahoma" w:hAnsi="Tahoma" w:cs="Tahoma"/>
      <w:sz w:val="16"/>
      <w:szCs w:val="16"/>
    </w:rPr>
  </w:style>
  <w:style w:type="paragraph" w:styleId="FootnoteText">
    <w:name w:val="footnote text"/>
    <w:basedOn w:val="Normal"/>
    <w:link w:val="FootnoteTextChar"/>
    <w:uiPriority w:val="99"/>
    <w:semiHidden/>
    <w:unhideWhenUsed/>
    <w:rsid w:val="00AA541F"/>
    <w:pPr>
      <w:widowControl w:val="0"/>
      <w:autoSpaceDE w:val="0"/>
      <w:autoSpaceDN w:val="0"/>
      <w:adjustRightInd w:val="0"/>
    </w:pPr>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rsid w:val="00AA541F"/>
    <w:rPr>
      <w:rFonts w:ascii="Courier New" w:eastAsia="Times New Roman" w:hAnsi="Courier New" w:cs="Courier New"/>
      <w:sz w:val="20"/>
      <w:szCs w:val="20"/>
    </w:rPr>
  </w:style>
  <w:style w:type="character" w:styleId="FootnoteReference">
    <w:name w:val="footnote reference"/>
    <w:uiPriority w:val="99"/>
    <w:semiHidden/>
    <w:unhideWhenUsed/>
    <w:rsid w:val="00AA541F"/>
    <w:rPr>
      <w:vertAlign w:val="superscript"/>
    </w:rPr>
  </w:style>
  <w:style w:type="paragraph" w:customStyle="1" w:styleId="Default">
    <w:name w:val="Default"/>
    <w:rsid w:val="001B27C9"/>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43"/>
    <w:pPr>
      <w:ind w:left="720"/>
      <w:contextualSpacing/>
    </w:pPr>
  </w:style>
  <w:style w:type="paragraph" w:styleId="BalloonText">
    <w:name w:val="Balloon Text"/>
    <w:basedOn w:val="Normal"/>
    <w:link w:val="BalloonTextChar"/>
    <w:uiPriority w:val="99"/>
    <w:semiHidden/>
    <w:unhideWhenUsed/>
    <w:rsid w:val="00660BA4"/>
    <w:rPr>
      <w:rFonts w:ascii="Tahoma" w:hAnsi="Tahoma" w:cs="Tahoma"/>
      <w:sz w:val="16"/>
      <w:szCs w:val="16"/>
    </w:rPr>
  </w:style>
  <w:style w:type="character" w:customStyle="1" w:styleId="BalloonTextChar">
    <w:name w:val="Balloon Text Char"/>
    <w:basedOn w:val="DefaultParagraphFont"/>
    <w:link w:val="BalloonText"/>
    <w:uiPriority w:val="99"/>
    <w:semiHidden/>
    <w:rsid w:val="00660BA4"/>
    <w:rPr>
      <w:rFonts w:ascii="Tahoma" w:hAnsi="Tahoma" w:cs="Tahoma"/>
      <w:sz w:val="16"/>
      <w:szCs w:val="16"/>
    </w:rPr>
  </w:style>
  <w:style w:type="paragraph" w:styleId="FootnoteText">
    <w:name w:val="footnote text"/>
    <w:basedOn w:val="Normal"/>
    <w:link w:val="FootnoteTextChar"/>
    <w:uiPriority w:val="99"/>
    <w:semiHidden/>
    <w:unhideWhenUsed/>
    <w:rsid w:val="00AA541F"/>
    <w:pPr>
      <w:widowControl w:val="0"/>
      <w:autoSpaceDE w:val="0"/>
      <w:autoSpaceDN w:val="0"/>
      <w:adjustRightInd w:val="0"/>
    </w:pPr>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rsid w:val="00AA541F"/>
    <w:rPr>
      <w:rFonts w:ascii="Courier New" w:eastAsia="Times New Roman" w:hAnsi="Courier New" w:cs="Courier New"/>
      <w:sz w:val="20"/>
      <w:szCs w:val="20"/>
    </w:rPr>
  </w:style>
  <w:style w:type="character" w:styleId="FootnoteReference">
    <w:name w:val="footnote reference"/>
    <w:uiPriority w:val="99"/>
    <w:semiHidden/>
    <w:unhideWhenUsed/>
    <w:rsid w:val="00AA541F"/>
    <w:rPr>
      <w:vertAlign w:val="superscript"/>
    </w:rPr>
  </w:style>
  <w:style w:type="paragraph" w:customStyle="1" w:styleId="Default">
    <w:name w:val="Default"/>
    <w:rsid w:val="001B27C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Montana - Chemistry</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Rosenberg</dc:creator>
  <cp:lastModifiedBy>Foos, Camie L</cp:lastModifiedBy>
  <cp:revision>2</cp:revision>
  <cp:lastPrinted>2017-04-27T18:50:00Z</cp:lastPrinted>
  <dcterms:created xsi:type="dcterms:W3CDTF">2017-05-01T15:22:00Z</dcterms:created>
  <dcterms:modified xsi:type="dcterms:W3CDTF">2017-05-01T15:22:00Z</dcterms:modified>
</cp:coreProperties>
</file>